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after="240"/>
        <w:jc w:val="center"/>
        <w:rPr>
          <w:rFonts w:eastAsiaTheme="minorEastAsia"/>
          <w:sz w:val="36"/>
          <w:szCs w:val="36"/>
        </w:rPr>
      </w:pPr>
      <w:bookmarkStart w:id="0" w:name="_Toc16220"/>
      <w:bookmarkStart w:id="1" w:name="_Toc101799940"/>
      <w:r>
        <w:rPr>
          <w:rFonts w:eastAsiaTheme="minorEastAsia"/>
          <w:sz w:val="36"/>
          <w:szCs w:val="36"/>
        </w:rPr>
        <w:t>安全风险管理制度</w:t>
      </w:r>
      <w:bookmarkEnd w:id="0"/>
      <w:bookmarkEnd w:id="1"/>
    </w:p>
    <w:p>
      <w:pPr>
        <w:pStyle w:val="3"/>
        <w:jc w:val="center"/>
        <w:rPr>
          <w:rFonts w:ascii="Times New Roman" w:hAnsi="Times New Roman" w:eastAsiaTheme="minorEastAsia"/>
        </w:rPr>
      </w:pPr>
      <w:r>
        <w:rPr>
          <w:rFonts w:ascii="Times New Roman" w:hAnsi="Times New Roman" w:eastAsiaTheme="minorEastAsia"/>
        </w:rPr>
        <w:t>第一章  总  则</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第一条  结合本公司特点，建立精准、动态、高效、严格的安全生产风险分级管控体系，全面排查、辨识、评估安全风险，落实风险管控责任，采取有效措施控制重大安全风险，对公司风险实施标准化管控。通过安全风险体系建设形成安全生产长效机制，提升企业安全生产水平，有效防范各类事故，确保安全生产形势持续稳定提升。</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第二条  危险源辨识要全覆盖、全方位、全过程，全面落实风险管控主体责任，确保风险受控，从根本上防范事故发生，构建安全生产长效机制。</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第三条  坚持以人为本，牢固树立安全发展理念和红线意识，以更大的努力、更有效的举措、更完善的制度，进一步落实企业主体责任，夯实安全管理基础管理，强化应急救援能力，堵塞各类安全漏洞。</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第四条  规范性引用文件</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《中华人民共和国安全生产法》</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《中华人民共和国劳动法》</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《中华人民共和国突发事件应对法》</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《中华人民共和国消防法》</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《中华人民共和国职业病防治法》</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《中华人民共和国特种设备安全法》</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《国务院关于进一步加强企业安全生产工作的通知》</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《关于建立完善风险管控和隐患排查治理双重预防机制的通知》</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《企业职工伤亡事故分类》</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《职业健康安全管理体系要求</w:t>
      </w:r>
      <w:bookmarkStart w:id="2" w:name="1"/>
      <w:bookmarkEnd w:id="2"/>
      <w:r>
        <w:rPr>
          <w:rFonts w:eastAsiaTheme="minorEastAsia"/>
          <w:sz w:val="28"/>
          <w:szCs w:val="28"/>
        </w:rPr>
        <w:t>》（</w:t>
      </w:r>
      <w:r>
        <w:rPr>
          <w:rStyle w:val="13"/>
          <w:rFonts w:hint="eastAsia" w:ascii="宋体" w:hAnsi="宋体" w:eastAsia="宋体" w:cs="宋体"/>
          <w:i w:val="0"/>
          <w:iCs w:val="0"/>
          <w:caps w:val="0"/>
          <w:color w:val="000000"/>
          <w:spacing w:val="0"/>
          <w:sz w:val="27"/>
          <w:szCs w:val="27"/>
          <w:shd w:val="clear" w:fill="FFFFFF"/>
        </w:rPr>
        <w:t>GB/T 45001-2020</w:t>
      </w:r>
      <w:r>
        <w:rPr>
          <w:rFonts w:eastAsiaTheme="minorEastAsia"/>
          <w:sz w:val="28"/>
          <w:szCs w:val="28"/>
        </w:rPr>
        <w:t>）</w:t>
      </w:r>
    </w:p>
    <w:p>
      <w:pPr>
        <w:widowControl/>
        <w:adjustRightInd w:val="0"/>
        <w:snapToGrid w:val="0"/>
        <w:spacing w:line="360" w:lineRule="auto"/>
        <w:ind w:firstLine="560" w:firstLineChars="200"/>
        <w:rPr>
          <w:rFonts w:eastAsiaTheme="minorEastAsia"/>
          <w:color w:val="auto"/>
          <w:sz w:val="28"/>
          <w:szCs w:val="28"/>
        </w:rPr>
      </w:pPr>
      <w:r>
        <w:rPr>
          <w:rFonts w:eastAsiaTheme="minorEastAsia"/>
          <w:color w:val="auto"/>
          <w:sz w:val="28"/>
          <w:szCs w:val="28"/>
        </w:rPr>
        <w:t>《职业健康安全管理体系 实施指南》（</w:t>
      </w:r>
      <w:r>
        <w:rPr>
          <w:rStyle w:val="13"/>
          <w:rFonts w:hint="eastAsia" w:ascii="宋体" w:hAnsi="宋体" w:eastAsia="宋体" w:cs="宋体"/>
          <w:i w:val="0"/>
          <w:iCs w:val="0"/>
          <w:caps w:val="0"/>
          <w:color w:val="auto"/>
          <w:spacing w:val="0"/>
          <w:sz w:val="27"/>
          <w:szCs w:val="27"/>
          <w:shd w:val="clear" w:fill="FFFFFF"/>
        </w:rPr>
        <w:t>GB/T 45001-2020</w:t>
      </w:r>
      <w:r>
        <w:rPr>
          <w:rFonts w:eastAsiaTheme="minorEastAsia"/>
          <w:color w:val="auto"/>
          <w:sz w:val="28"/>
          <w:szCs w:val="28"/>
        </w:rPr>
        <w:t>）</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《水利水电工程施工安全管理导则》（SL721-2015）</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《水利水电工程施工危险源辨识与风险评价导则（试行）》（办监督函〔2018〕1693号）</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第五条  术语和定义</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1．风险</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生产安全事故或健康损害事件发生的可能性和严重性及人员暴露于危险环境频繁程度的组合。可能性，是指事故（事件）发生的概率。严重性，是指事故（事件）一旦发生后，将造成的人员伤害和经济损失的严重程度。风险=可能性×严重性×人员暴露概率。</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2．可接受风险</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根据企业法律义务和职业健康安全方针已被企业降至可容许程度的风险。</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3．重大风险</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发生事故可能性与事故后果二者结合后风险值被认定为重大的风险类型。</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4．危险源</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可能导致人身伤害和（或）健康损害和（或）财产损失的根源、状态或行为，或它们的组合。</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注：在分析生产过程中对人造成伤亡、影响人的身体健康甚至导致疾病的因素时，危险源可称为危险有害因素，分为人的因素、物的因素、环境因素和管理因素四类。</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5．风险点</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风险伴随的设施、部位、场所和区域，以及在设施、部位、场所和区域实施的伴随风险的作业活动，或以上两者的组合。</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6．危险源辨识</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识别危险源的存在并确定其分布和特性的过程。</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7．风险评价</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对危险源导致的风险进行分析、评估、分级，对现有控制措施的充分性加以考虑，以及对风险是否可接受予以确定的过程。</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8．风险分级</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通过采用科学、合理方法对危险源所伴随的风险进行定性或定量评价，根据评价结果划分等级。</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9．风险分级管控</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按照风险不同级别、所需管控资源、管控能力、管控措施复杂及难易程度等因素而确定不同管控层级的风险管控方式。</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10．风险控制措施</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企业为将风险降低至可接受程度，针对该风险而采取的相应控制方法和手段。</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11．风险信息</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风险点名称、危险源名称、类型、所在位置、当前状态以及伴随风险大小、等级、所需管控措施、责任单位、责任人等一系列信息的综合。</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12．风险分级管控清单</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企业各类风险信息的集合。</w:t>
      </w:r>
    </w:p>
    <w:p>
      <w:pPr>
        <w:pStyle w:val="3"/>
        <w:jc w:val="center"/>
        <w:rPr>
          <w:rFonts w:ascii="Times New Roman" w:hAnsi="Times New Roman" w:eastAsiaTheme="minorEastAsia"/>
        </w:rPr>
      </w:pPr>
      <w:r>
        <w:rPr>
          <w:rFonts w:ascii="Times New Roman" w:hAnsi="Times New Roman" w:eastAsiaTheme="minorEastAsia"/>
        </w:rPr>
        <w:t>第二章  风险辨识与评估职责</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第六条  公司主要负责人成立体系建设推动领导委员会和各专业工作组，组织制定安全风险管理体系建设工作方案，定期部署对体系建设工作情况进行调度、督导和考核。</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第七条  主管安全生产负责人是危险源识别、风险评价及风险管控过程的主要负责人，负责危险源辨识、风险评价和风险控制措施确定工作的监督管理。</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 xml:space="preserve">第八条  </w:t>
      </w:r>
      <w:r>
        <w:rPr>
          <w:rFonts w:hint="eastAsia" w:eastAsiaTheme="minorEastAsia"/>
          <w:sz w:val="28"/>
          <w:szCs w:val="28"/>
          <w:lang w:eastAsia="zh-CN"/>
        </w:rPr>
        <w:t>安全部</w:t>
      </w:r>
      <w:r>
        <w:rPr>
          <w:rFonts w:eastAsiaTheme="minorEastAsia"/>
          <w:sz w:val="28"/>
          <w:szCs w:val="28"/>
        </w:rPr>
        <w:t>主要负责协调和调度各科室分工开展情况；负责本制度的组织实施、指导和监督检查；负责组织对全公司风险结果评审；负责对二级以上（含二级）风险及其控制措施的汇总、协调、监督评估；负责将安全风险管理体系建设工作纳入安全生产责任制考核，确保实现“全员、全过程、全方位、全天候”的风险管控。</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第九条  各科室负责职责范围内的危险源辨识、风险评价和控制措施的确定、协调指导和监督检查；负责职责范围内的风险监督管理。</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第十条  多部门协作共同开展活动时，由</w:t>
      </w:r>
      <w:r>
        <w:rPr>
          <w:rFonts w:hint="eastAsia" w:eastAsiaTheme="minorEastAsia"/>
          <w:sz w:val="28"/>
          <w:szCs w:val="28"/>
          <w:lang w:eastAsia="zh-CN"/>
        </w:rPr>
        <w:t>安全部</w:t>
      </w:r>
      <w:r>
        <w:rPr>
          <w:rFonts w:eastAsiaTheme="minorEastAsia"/>
          <w:sz w:val="28"/>
          <w:szCs w:val="28"/>
        </w:rPr>
        <w:t>牵头负责危险源辨识和风险管控工作，各科室及各项目部具体实施各自范围内的危险源辨识和风险管控工作，并及时根据相关制度向公司</w:t>
      </w:r>
      <w:r>
        <w:rPr>
          <w:rFonts w:hint="eastAsia" w:eastAsiaTheme="minorEastAsia"/>
          <w:sz w:val="28"/>
          <w:szCs w:val="28"/>
          <w:lang w:eastAsia="zh-CN"/>
        </w:rPr>
        <w:t>安全部</w:t>
      </w:r>
      <w:r>
        <w:rPr>
          <w:rFonts w:eastAsiaTheme="minorEastAsia"/>
          <w:sz w:val="28"/>
          <w:szCs w:val="28"/>
        </w:rPr>
        <w:t>及所属上级部门提交汇总。</w:t>
      </w:r>
    </w:p>
    <w:p>
      <w:pPr>
        <w:pStyle w:val="3"/>
        <w:jc w:val="center"/>
        <w:rPr>
          <w:rFonts w:ascii="Times New Roman" w:hAnsi="Times New Roman" w:eastAsiaTheme="minorEastAsia"/>
        </w:rPr>
      </w:pPr>
      <w:r>
        <w:rPr>
          <w:rFonts w:ascii="Times New Roman" w:hAnsi="Times New Roman" w:eastAsiaTheme="minorEastAsia"/>
        </w:rPr>
        <w:t>第三章  风险辨识与评估适用范围</w:t>
      </w:r>
    </w:p>
    <w:p>
      <w:pPr>
        <w:spacing w:line="360" w:lineRule="auto"/>
        <w:ind w:firstLine="560" w:firstLineChars="200"/>
        <w:rPr>
          <w:rFonts w:eastAsiaTheme="minorEastAsia"/>
          <w:sz w:val="28"/>
          <w:szCs w:val="28"/>
        </w:rPr>
      </w:pPr>
      <w:r>
        <w:rPr>
          <w:rFonts w:eastAsiaTheme="minorEastAsia"/>
          <w:sz w:val="28"/>
          <w:szCs w:val="28"/>
        </w:rPr>
        <w:t>第十一条  本制度适用于公司的生产机械设备、设施、存储、运输的风险评价与控制，适用于本公司办公场所、生活区域、施工作业现场，生产经营活动的正常和非正常情况，包括工程项目范围内各个施工阶段的风险管理、风险评价、风险控制以及风险信息的更新。</w:t>
      </w:r>
    </w:p>
    <w:p>
      <w:pPr>
        <w:pStyle w:val="3"/>
        <w:jc w:val="center"/>
        <w:rPr>
          <w:rFonts w:ascii="Times New Roman" w:hAnsi="Times New Roman" w:eastAsiaTheme="minorEastAsia"/>
        </w:rPr>
      </w:pPr>
      <w:r>
        <w:rPr>
          <w:rFonts w:ascii="Times New Roman" w:hAnsi="Times New Roman" w:eastAsiaTheme="minorEastAsia"/>
        </w:rPr>
        <w:t>第四章  风险辨识与评估基本程序</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第十二条  公司实施风险管控工作，在制定相应的管理制度或程序文件的基础上，工作程序包括：</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第十三条  成立组织机构→实施培训→编制作业指导书和有关台账、记录→采用相应的方法辨识危害因素并填写相关记录。</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第十四条  采用适用的方法进行风险分析并填写相关记录→分析现有风险控制措施的有效性，提出改进的控制措施并填写相应的记录。</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第十五条  依据制定的准则，判定风险等级并填入分析记录→逐级评审并审核、审定、批准，形成台账或控制清单→组织全员学习本岗位的风险，落实风险控制措施→组织人员及时并定期评审、更新风险信息→结合实际实施风险分级管控→有效运行体系，实现持续改进。</w:t>
      </w:r>
    </w:p>
    <w:p>
      <w:pPr>
        <w:pStyle w:val="3"/>
        <w:jc w:val="center"/>
        <w:rPr>
          <w:rFonts w:ascii="Times New Roman" w:hAnsi="Times New Roman" w:eastAsiaTheme="minorEastAsia"/>
        </w:rPr>
      </w:pPr>
      <w:r>
        <w:rPr>
          <w:rFonts w:ascii="Times New Roman" w:hAnsi="Times New Roman" w:eastAsiaTheme="minorEastAsia"/>
        </w:rPr>
        <w:t>第五章  风险辨识与评估准则</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第十六条  在采用作业条件危险性分析法（LEC法）完成辨识后，应结合实际制定适合本处的风险分析判断准则，以便于准确的进行风险分析评估，并认定风险等级。</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应依据以下内容制定风险评价准则：</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有关安全生产法律、法规；《水利部办公厅关于印发水利水电工程施工危险源辨识与风险评价导则（试行）的通知》（办监督函〔2018〕1693号）；设计规范、技术标准；公司安全管理标准、技术标准；公司安全生产方针和目标等。</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在进行风险评价时，应考虑人、财产和环境等三个方面的可能性和严重程度的影响。</w:t>
      </w:r>
    </w:p>
    <w:p>
      <w:pPr>
        <w:pStyle w:val="3"/>
        <w:jc w:val="center"/>
        <w:rPr>
          <w:rFonts w:ascii="Times New Roman" w:hAnsi="Times New Roman" w:eastAsiaTheme="minorEastAsia"/>
        </w:rPr>
      </w:pPr>
      <w:r>
        <w:rPr>
          <w:rFonts w:ascii="Times New Roman" w:hAnsi="Times New Roman" w:eastAsiaTheme="minorEastAsia"/>
        </w:rPr>
        <w:t>第六章  风险辨识与评估方法</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第十七条  在组织完成对危害因素及其风险的辨识以后，要对潜在的风险进行分析评价，并制定和依据相关准则对风险程度进行分析判断，进而确定风险等级，实施分级管控。</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第十八条  采用常用方法作业条件危险性分析法（简称LEC）。</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该方法是对具有潜在危险性作业环境中的危害因素进行半定量的</w:t>
      </w:r>
      <w:r>
        <w:fldChar w:fldCharType="begin"/>
      </w:r>
      <w:r>
        <w:instrText xml:space="preserve"> HYPERLINK "http://baike.so.com/doc/954231-1008690.html" \t "_blank" </w:instrText>
      </w:r>
      <w:r>
        <w:fldChar w:fldCharType="separate"/>
      </w:r>
      <w:r>
        <w:rPr>
          <w:rFonts w:eastAsiaTheme="minorEastAsia"/>
          <w:sz w:val="28"/>
          <w:szCs w:val="28"/>
        </w:rPr>
        <w:t>安全评价</w:t>
      </w:r>
      <w:r>
        <w:rPr>
          <w:rFonts w:eastAsiaTheme="minorEastAsia"/>
          <w:sz w:val="28"/>
          <w:szCs w:val="28"/>
        </w:rPr>
        <w:fldChar w:fldCharType="end"/>
      </w:r>
      <w:r>
        <w:rPr>
          <w:rFonts w:eastAsiaTheme="minorEastAsia"/>
          <w:sz w:val="28"/>
          <w:szCs w:val="28"/>
        </w:rPr>
        <w:t>方法，用于评价操作人员在具有潜在危险性环境中作业时的危险性、危害性。用与系统风险有关的三种因素指标值的乘积来评价操作人员伤亡风险大小，这三种因素分别是：L(likelihood，事故发生的可能性)、E(exposure，人员暴露于危险环境中的频繁程度)和C(consequence，一旦发生事故可能造成的后果)。给三种因素的不同等级分别确定不同的分值，再以三个分值的乘积D(danger，危险性)来评价作业条件危险性的大小，即：D=L×E×C。D值越大，说明该系统危险性大、风险大。</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该方法LEC的取值标准参照附件2，适合于对分析识别出的风险等级进行评估、判定，重大危险源参照附件4。</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第十九条  风险分级</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采用科学方法对危险源所伴随的风险进行定量或定性评价，对评价结果进行划分等级。将同一级别或不同级别风险按照从高到低的原则划分为重大风险、较大风险、一般风险和低风险，分别用“红橙黄蓝”四种颜色标示。</w:t>
      </w:r>
    </w:p>
    <w:p>
      <w:pPr>
        <w:widowControl/>
        <w:adjustRightInd w:val="0"/>
        <w:snapToGrid w:val="0"/>
        <w:spacing w:line="360" w:lineRule="auto"/>
        <w:ind w:firstLine="560" w:firstLineChars="200"/>
        <w:rPr>
          <w:rFonts w:eastAsiaTheme="minorEastAsia"/>
          <w:sz w:val="28"/>
          <w:szCs w:val="28"/>
        </w:rPr>
      </w:pPr>
      <w:r>
        <w:rPr>
          <w:rFonts w:hint="eastAsia" w:ascii="宋体" w:hAnsi="宋体" w:cs="宋体"/>
          <w:sz w:val="28"/>
          <w:szCs w:val="28"/>
        </w:rPr>
        <w:t>Ⅳ</w:t>
      </w:r>
      <w:r>
        <w:rPr>
          <w:rFonts w:eastAsiaTheme="minorEastAsia"/>
          <w:sz w:val="28"/>
          <w:szCs w:val="28"/>
        </w:rPr>
        <w:t>级\4级\蓝色\轻度危险：属于低风险，班组、岗位管控。</w:t>
      </w:r>
    </w:p>
    <w:p>
      <w:pPr>
        <w:widowControl/>
        <w:adjustRightInd w:val="0"/>
        <w:snapToGrid w:val="0"/>
        <w:spacing w:line="360" w:lineRule="auto"/>
        <w:ind w:firstLine="560" w:firstLineChars="200"/>
        <w:rPr>
          <w:rFonts w:eastAsiaTheme="minorEastAsia"/>
          <w:sz w:val="28"/>
          <w:szCs w:val="28"/>
        </w:rPr>
      </w:pPr>
      <w:r>
        <w:rPr>
          <w:rFonts w:hint="eastAsia" w:ascii="宋体" w:hAnsi="宋体" w:cs="宋体"/>
          <w:sz w:val="28"/>
          <w:szCs w:val="28"/>
        </w:rPr>
        <w:t>Ⅲ</w:t>
      </w:r>
      <w:r>
        <w:rPr>
          <w:rFonts w:eastAsiaTheme="minorEastAsia"/>
          <w:sz w:val="28"/>
          <w:szCs w:val="28"/>
        </w:rPr>
        <w:t>级\3级\黄色\显著危险：属于一般风险，</w:t>
      </w:r>
      <w:r>
        <w:rPr>
          <w:rFonts w:hint="eastAsia" w:eastAsiaTheme="minorEastAsia"/>
          <w:sz w:val="28"/>
          <w:szCs w:val="28"/>
          <w:lang w:eastAsia="zh-CN"/>
        </w:rPr>
        <w:t>部门</w:t>
      </w:r>
      <w:r>
        <w:rPr>
          <w:rFonts w:eastAsiaTheme="minorEastAsia"/>
          <w:sz w:val="28"/>
          <w:szCs w:val="28"/>
        </w:rPr>
        <w:t>、班组、岗位管控，需要控制整改。</w:t>
      </w:r>
    </w:p>
    <w:p>
      <w:pPr>
        <w:widowControl/>
        <w:adjustRightInd w:val="0"/>
        <w:snapToGrid w:val="0"/>
        <w:spacing w:line="360" w:lineRule="auto"/>
        <w:ind w:firstLine="560" w:firstLineChars="200"/>
        <w:rPr>
          <w:rFonts w:eastAsiaTheme="minorEastAsia"/>
          <w:sz w:val="28"/>
          <w:szCs w:val="28"/>
        </w:rPr>
      </w:pPr>
      <w:r>
        <w:rPr>
          <w:rFonts w:hint="eastAsia" w:ascii="宋体" w:hAnsi="宋体" w:cs="宋体"/>
          <w:sz w:val="28"/>
          <w:szCs w:val="28"/>
        </w:rPr>
        <w:t>Ⅱ</w:t>
      </w:r>
      <w:r>
        <w:rPr>
          <w:rFonts w:eastAsiaTheme="minorEastAsia"/>
          <w:sz w:val="28"/>
          <w:szCs w:val="28"/>
        </w:rPr>
        <w:t>级\2级\橙色\高度危险：属于较大风险，</w:t>
      </w:r>
      <w:r>
        <w:rPr>
          <w:rFonts w:hint="eastAsia" w:eastAsiaTheme="minorEastAsia"/>
          <w:sz w:val="28"/>
          <w:szCs w:val="28"/>
          <w:lang w:eastAsia="zh-CN"/>
        </w:rPr>
        <w:t>单位分管负责人</w:t>
      </w:r>
      <w:r>
        <w:rPr>
          <w:rFonts w:eastAsiaTheme="minorEastAsia"/>
          <w:sz w:val="28"/>
          <w:szCs w:val="28"/>
        </w:rPr>
        <w:t>、</w:t>
      </w:r>
      <w:r>
        <w:rPr>
          <w:rFonts w:hint="eastAsia" w:eastAsiaTheme="minorEastAsia"/>
          <w:sz w:val="28"/>
          <w:szCs w:val="28"/>
          <w:lang w:eastAsia="zh-CN"/>
        </w:rPr>
        <w:t>部门</w:t>
      </w:r>
      <w:r>
        <w:rPr>
          <w:rFonts w:eastAsiaTheme="minorEastAsia"/>
          <w:sz w:val="28"/>
          <w:szCs w:val="28"/>
        </w:rPr>
        <w:t>、班组、岗位管控，应制定建议改进措施进行控制管理。</w:t>
      </w:r>
    </w:p>
    <w:p>
      <w:pPr>
        <w:widowControl/>
        <w:adjustRightInd w:val="0"/>
        <w:snapToGrid w:val="0"/>
        <w:spacing w:line="360" w:lineRule="auto"/>
        <w:ind w:firstLine="560" w:firstLineChars="200"/>
        <w:rPr>
          <w:rFonts w:eastAsiaTheme="minorEastAsia"/>
          <w:sz w:val="28"/>
          <w:szCs w:val="28"/>
        </w:rPr>
      </w:pPr>
      <w:r>
        <w:rPr>
          <w:rFonts w:hint="eastAsia" w:ascii="宋体" w:hAnsi="宋体" w:cs="宋体"/>
          <w:sz w:val="28"/>
          <w:szCs w:val="28"/>
        </w:rPr>
        <w:t>Ⅰ</w:t>
      </w:r>
      <w:r>
        <w:rPr>
          <w:rFonts w:eastAsiaTheme="minorEastAsia"/>
          <w:sz w:val="28"/>
          <w:szCs w:val="28"/>
        </w:rPr>
        <w:t>级\1级\红色\极其危险：属于重大风险，</w:t>
      </w:r>
      <w:r>
        <w:rPr>
          <w:rFonts w:hint="eastAsia" w:eastAsiaTheme="minorEastAsia"/>
          <w:sz w:val="28"/>
          <w:szCs w:val="28"/>
          <w:lang w:eastAsia="zh-CN"/>
        </w:rPr>
        <w:t>单位主要负责人、单位分管负责人</w:t>
      </w:r>
      <w:r>
        <w:rPr>
          <w:rFonts w:eastAsiaTheme="minorEastAsia"/>
          <w:sz w:val="28"/>
          <w:szCs w:val="28"/>
        </w:rPr>
        <w:t>、</w:t>
      </w:r>
      <w:r>
        <w:rPr>
          <w:rFonts w:hint="eastAsia" w:eastAsiaTheme="minorEastAsia"/>
          <w:sz w:val="28"/>
          <w:szCs w:val="28"/>
          <w:lang w:eastAsia="zh-CN"/>
        </w:rPr>
        <w:t>部门</w:t>
      </w:r>
      <w:r>
        <w:rPr>
          <w:rFonts w:eastAsiaTheme="minorEastAsia"/>
          <w:sz w:val="28"/>
          <w:szCs w:val="28"/>
        </w:rPr>
        <w:t>、班组、岗位管控，应立即整改，视具体情况决定是否停产整改，需要停产整改的，只有当风险降至可接受后，才能开始或继续工作。</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风险等级判定采用作业条件危险性分析法（LEC）进行风险大小的判定。</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在组织完成风险评价后，应当将分析内容或数据（取值）分别在《风险分级管控、辨识清单》和《危险源识别与风险评价表》相应的栏目中补充描述，将计算取值分别填入记录。</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再根据计算结果判定风险等级，填入记录“风险等级”栏目。</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第二十条  以下情形为重大风险：</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违反法律、法规及国家标准中强制性条款的；</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发生风险事件概率、危害程度均为大，或危害程度为大、发生风险事件概率为中；极其危险；</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涉及重大危险源的参照附件4；</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《水利部办公厅关于印发水利水电工程施工危险源辨识与风险评价导则（试行）的通知》水利水电工程施工重大危险源清单（指南）附件4中符合的项目。</w:t>
      </w:r>
    </w:p>
    <w:p>
      <w:pPr>
        <w:pStyle w:val="3"/>
        <w:jc w:val="center"/>
        <w:rPr>
          <w:rFonts w:ascii="Times New Roman" w:hAnsi="Times New Roman" w:eastAsiaTheme="minorEastAsia"/>
        </w:rPr>
      </w:pPr>
      <w:r>
        <w:rPr>
          <w:rFonts w:ascii="Times New Roman" w:hAnsi="Times New Roman" w:eastAsiaTheme="minorEastAsia"/>
        </w:rPr>
        <w:t>第七章  风险管控</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第二十一条  原则</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根据相关法律法规、标准、规范、规程的要求，结合公司实际，风险控制措施的原则是按以下顺序考虑降低风险：</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1．工程控制措施；</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2．管理控制措施；</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3．个体防护措施；</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4．应急控制措施。</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第二十二条  风险分级管控</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根据风险评价的分级结果，采取不同的管控措施，由不同层级管控，按照风险级别、所需的资源及岗位职责的划分、需具备的管控能力、管控措施的复杂性及难易程度等因素，确定不同的管控层级。风险分级管控基本原则是：风险越大，管控级别越高；上级负责管控的风险，下级必须负责管控。</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1．一级风险，由单位负</w:t>
      </w:r>
      <w:bookmarkStart w:id="3" w:name="_GoBack"/>
      <w:bookmarkEnd w:id="3"/>
      <w:r>
        <w:rPr>
          <w:rFonts w:eastAsiaTheme="minorEastAsia"/>
          <w:sz w:val="28"/>
          <w:szCs w:val="28"/>
        </w:rPr>
        <w:t>责管控，单位主要负责人为第一责任人；</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2．二级风险，由单位负责管控，单位</w:t>
      </w:r>
      <w:r>
        <w:rPr>
          <w:rFonts w:hint="eastAsia" w:eastAsiaTheme="minorEastAsia"/>
          <w:sz w:val="28"/>
          <w:szCs w:val="28"/>
          <w:lang w:eastAsia="zh-CN"/>
        </w:rPr>
        <w:t>分管</w:t>
      </w:r>
      <w:r>
        <w:rPr>
          <w:rFonts w:eastAsiaTheme="minorEastAsia"/>
          <w:sz w:val="28"/>
          <w:szCs w:val="28"/>
        </w:rPr>
        <w:t>负责人为第一责任人；</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3．三级风险，由部门负责管控，部门主要负责人为第一责任人；</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4．四级风险（蓝色风险），由班组、岗位负责管控，班组长、岗位员工为第一责任人。</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当该等级风险不属于对应管控层级职能范围时，应当提级直至单位管控层级，保留记录。</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第二十三条  风险管控措施</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1．风险控制措施应包括：工程技术措施、管理措施、教育培训措施、个体防护措施和应急处置措施等方面。</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（1）工程技术措施</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1)消除或控制，通过对装置、设备设施、工艺等的设计来消除、控制危险源；</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2)替代，用低危害物质替代或降低系统能量，如较低的动力、电流、电压、温度等；</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3)封闭，对产生或导致危害的设施或场所进行密闭；</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4)隔离，通过隔离带、栅栏、警戒绳等把人与危险区域隔开；</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5)移开或改变方向，如有毒、有害气体的排放口。</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（2）管理措施</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1)制定实施作业程序、安全许可、安全操作规程等；</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2)制定实施运行调度规划、计划；</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3)检查、巡查，尤其是汛期前后、暴雨、大洪水、有感地震、强热带风暴、供水期前后或持续高水位以及冰冻期等情况；</w:t>
      </w:r>
    </w:p>
    <w:p>
      <w:pPr>
        <w:widowControl/>
        <w:adjustRightInd w:val="0"/>
        <w:snapToGrid w:val="0"/>
        <w:spacing w:line="360" w:lineRule="auto"/>
        <w:ind w:firstLine="560" w:firstLineChars="200"/>
        <w:rPr>
          <w:rFonts w:eastAsiaTheme="minorEastAsia"/>
          <w:sz w:val="28"/>
          <w:szCs w:val="28"/>
        </w:rPr>
      </w:pPr>
      <w:r>
        <w:rPr>
          <w:rFonts w:eastAsiaTheme="minorEastAsia"/>
          <w:sz w:val="28"/>
          <w:szCs w:val="28"/>
        </w:rPr>
        <w:t>4)预警和警示标识；</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5)轮班制以减少暴露时间；</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6)严格按照规定进行安全评价、评估及鉴定。</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（3）教育培训</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1)加强风险意识和对安全风险分级管控认识的培训；</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2)对有效识别危害因素及掌握危害分析评价方法进行培训，提高控制风险能力；</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3)培训职工本岗位安全风险和防控方法。</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（4）个体防护措施</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1)正确使用个体防护用品，常见防护用品包括：安全帽、救生衣、防护服、听力防护罩、防护眼镜、防护手套、绝缘鞋等；</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2)当工程控制措施不能消除或减弱危险有害因素时，均应采取防护措施；</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3)当处置异常或紧急情况时，应考虑佩戴防护用品。</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（5）应急处置措施</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制定综合应急预案、专项应急预案和现场处置方案，配备应急队伍、物资、装备等，定期开展演练，提高应急能力。</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第二十四条  在选择风险控制措施时，应考虑：</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（1）可行性和可靠性；</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（2）先进性和安全性；</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（3）经济合理性及经营运行情况；</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（4）可靠的技术保证和服务。</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第二十五条  风险控制措施评审</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控制措施应在实施前针对以下内容评审：</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（1）措施的可行性和有效性；</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（2）是否使风险降低到可容许水平；</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（3）是否产生新的危害因素；</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（4）是否已选定了最佳的解决方案；</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（5）是否会被应用于实际工作中。</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第二十六条  风险分析评价记录的完善</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公司按照上述方法，经评审确定后，应当将制定的有效控制措施和改进的控制措施（根据实际）分别填写入《风险分级管控、辨识清单》和《危险源识别与风险评价表》相应的栏目中。至此上述两个记录填写完善。</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第二十七条  风险管控措施确定</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公司依次按照工程控制措施、安全管理措施、个体防护措施以应急措施等四个逻辑顺序对每个风险点制定精准的风险控制措施。</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对不同级别的风险结合实际采取多种措施进行控制，并逐步降低风险，直至可以接受，典型控制措施由基层工作小组制定后，各级工作组应针对典型控制措施是否适宜进行评审，并根据评审结果进行完善，最终由风险管控隐患治理领导机构批准，作为一个时期内完善风险控制措施的基础信息。</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第二十八条  风险培训</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公司制定风险评估培训计划，组织员工对本单位的风险评价方法、评估过程及评估结果进行培训，并保留培训记录。</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第二十九条  持续改进</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1．评审</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公司每年对风险分级管控体系进行一次系统性评审或更新。根据非常规作业活动、新增功能性区域、装置或设施等适时开展危险源辨识和风险评价。</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2．风险信息更新</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根据以下情况变化对风险管控的影响，及时针对变化范围开展风险分析，及时更新风险信息：</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法规、标准等增减、修订变化所引起风险程度的改变；</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发生事故后，有对事故、事件或其他信息的新认识，对相关危险源的再评价；</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组织机构发生重大调整；</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补充新辨识出的危险源评价；</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风险程度变化后，需要对风险控制措施的调整。</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第三十条  工作程序和要求</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1．</w:t>
      </w:r>
      <w:r>
        <w:rPr>
          <w:rFonts w:hint="eastAsia" w:ascii="Times New Roman" w:hAnsi="Times New Roman" w:cs="Times New Roman" w:eastAsiaTheme="minorEastAsia"/>
          <w:kern w:val="2"/>
          <w:sz w:val="28"/>
          <w:szCs w:val="28"/>
          <w:lang w:eastAsia="zh-CN"/>
        </w:rPr>
        <w:t>安全部</w:t>
      </w:r>
      <w:r>
        <w:rPr>
          <w:rFonts w:ascii="Times New Roman" w:hAnsi="Times New Roman" w:cs="Times New Roman" w:eastAsiaTheme="minorEastAsia"/>
          <w:kern w:val="2"/>
          <w:sz w:val="28"/>
          <w:szCs w:val="28"/>
        </w:rPr>
        <w:t>每年应定期制定“危害因素辨识及风险评价计划”，经主要负责人或分管负责人批准后下发执行。各级组织（公司、科室、项目部、班组、工段）均应成立风险评价小组，并对“危害因素辨识及风险评价计划”进行分解落实，直至班组、岗位，作为开展危害因素辨识及风险评价工作的依据。</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2．各部门按照计划，依据适用的辨识评价方法对本部门危害因素进行辨识评价后，填写相应的《作业活动清单》、《设备设施清单》、《作业活动风险分级管控、辨识清单》、《安全检查分析评价表》，经本级风险评估小组进行汇总、评审后，逐级上报。</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3．公司风险评价小组组织审核、修订后，将审核、修订意见反馈各科室。重大（</w:t>
      </w:r>
      <w:r>
        <w:rPr>
          <w:rFonts w:hint="eastAsia"/>
          <w:kern w:val="2"/>
          <w:sz w:val="28"/>
          <w:szCs w:val="28"/>
        </w:rPr>
        <w:t>Ⅱ</w:t>
      </w:r>
      <w:r>
        <w:rPr>
          <w:rFonts w:ascii="Times New Roman" w:hAnsi="Times New Roman" w:cs="Times New Roman" w:eastAsiaTheme="minorEastAsia"/>
          <w:kern w:val="2"/>
          <w:sz w:val="28"/>
          <w:szCs w:val="28"/>
        </w:rPr>
        <w:t>级\2级\橙色）及以上风险必须报公司批准。</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4．公司根据最终分析评价记录结果，建立《风险分级管控清单》，由主要负责人或分管负责人审核批准后发布。</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5．公司依据辨识评价结果，建立《风险管控登记台账》，台账应结合实际定期更新（每年至少一次）。</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第三十一条  风险分级管控考核方法</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为确保该项工作有序开展及事故纵深预防效果，公司对风险分级管控制定实施内部激励考核方法，具体方法另见公司相关考核制度。</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第三十二条  公告警示</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公司将主要危险源、风险等级、典型管控措施和应急措施予以公布，让每一名员工都了解各自岗位或系统对应的危险源的基本情况及防范、应急对策。在安全风险岗位设置告知卡，职业危害岗位设置职业危害告知书，同时将本处的一、二级危险源的有关信息及应急处理措施告知相邻企业、单位。</w:t>
      </w:r>
    </w:p>
    <w:p>
      <w:pPr>
        <w:pStyle w:val="3"/>
        <w:jc w:val="center"/>
        <w:rPr>
          <w:rFonts w:ascii="Times New Roman" w:hAnsi="Times New Roman" w:eastAsiaTheme="minorEastAsia"/>
        </w:rPr>
      </w:pPr>
      <w:r>
        <w:rPr>
          <w:rFonts w:ascii="Times New Roman" w:hAnsi="Times New Roman" w:eastAsiaTheme="minorEastAsia"/>
        </w:rPr>
        <w:t>第八章  附则</w:t>
      </w:r>
    </w:p>
    <w:p>
      <w:pPr>
        <w:pStyle w:val="10"/>
        <w:spacing w:before="0" w:beforeAutospacing="0" w:after="0" w:afterAutospacing="0" w:line="360" w:lineRule="auto"/>
        <w:ind w:firstLine="560" w:firstLineChars="200"/>
        <w:jc w:val="both"/>
        <w:rPr>
          <w:rFonts w:ascii="Times New Roman" w:hAnsi="Times New Roman" w:cs="Times New Roman" w:eastAsiaTheme="minorEastAsia"/>
          <w:kern w:val="2"/>
          <w:sz w:val="28"/>
          <w:szCs w:val="28"/>
        </w:rPr>
      </w:pPr>
      <w:r>
        <w:rPr>
          <w:rFonts w:ascii="Times New Roman" w:hAnsi="Times New Roman" w:cs="Times New Roman" w:eastAsiaTheme="minorEastAsia"/>
          <w:kern w:val="2"/>
          <w:sz w:val="28"/>
          <w:szCs w:val="28"/>
        </w:rPr>
        <w:t>第三十三条  本制度自发文之日起实施，由</w:t>
      </w:r>
      <w:r>
        <w:rPr>
          <w:rFonts w:hint="eastAsia" w:ascii="Times New Roman" w:hAnsi="Times New Roman" w:cs="Times New Roman" w:eastAsiaTheme="minorEastAsia"/>
          <w:kern w:val="2"/>
          <w:sz w:val="28"/>
          <w:szCs w:val="28"/>
          <w:lang w:eastAsia="zh-CN"/>
        </w:rPr>
        <w:t>安全部</w:t>
      </w:r>
      <w:r>
        <w:rPr>
          <w:rFonts w:ascii="Times New Roman" w:hAnsi="Times New Roman" w:cs="Times New Roman" w:eastAsiaTheme="minorEastAsia"/>
          <w:kern w:val="2"/>
          <w:sz w:val="28"/>
          <w:szCs w:val="28"/>
        </w:rPr>
        <w:t>负责解释。</w:t>
      </w:r>
    </w:p>
    <w:sectPr>
      <w:headerReference r:id="rId5" w:type="default"/>
      <w:pgSz w:w="11906" w:h="16838"/>
      <w:pgMar w:top="1134" w:right="1134" w:bottom="1134" w:left="147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210" w:firstLine="0"/>
      </w:pPr>
      <w:rPr>
        <w:rFonts w:hint="eastAsia" w:ascii="宋体" w:hAnsi="宋体" w:eastAsia="宋体"/>
        <w:b/>
        <w:i w:val="0"/>
        <w:sz w:val="24"/>
        <w:szCs w:val="24"/>
      </w:rPr>
    </w:lvl>
    <w:lvl w:ilvl="1" w:tentative="0">
      <w:start w:val="1"/>
      <w:numFmt w:val="decimal"/>
      <w:suff w:val="nothing"/>
      <w:lvlText w:val="%1.%2　"/>
      <w:lvlJc w:val="left"/>
      <w:pPr>
        <w:ind w:left="1419" w:hanging="1135"/>
      </w:pPr>
      <w:rPr>
        <w:rFonts w:hint="eastAsia" w:ascii="宋体" w:hAnsi="宋体" w:eastAsia="宋体" w:cs="Times New Roman"/>
        <w:b w:val="0"/>
        <w:bCs w:val="0"/>
        <w:i w:val="0"/>
        <w:iCs w:val="0"/>
        <w: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rPr>
    </w:lvl>
    <w:lvl w:ilvl="2" w:tentative="0">
      <w:start w:val="1"/>
      <w:numFmt w:val="decimal"/>
      <w:pStyle w:val="23"/>
      <w:suff w:val="nothing"/>
      <w:lvlText w:val="%1.%2.%3　"/>
      <w:lvlJc w:val="left"/>
      <w:pPr>
        <w:ind w:left="0" w:firstLine="0"/>
      </w:pPr>
      <w:rPr>
        <w:rFonts w:hint="eastAsia" w:ascii="宋体" w:hAnsi="宋体" w:eastAsia="宋体"/>
        <w:b w:val="0"/>
        <w:i w:val="0"/>
        <w:color w:val="auto"/>
        <w:sz w:val="24"/>
        <w:szCs w:val="24"/>
      </w:rPr>
    </w:lvl>
    <w:lvl w:ilvl="3" w:tentative="0">
      <w:start w:val="1"/>
      <w:numFmt w:val="decimal"/>
      <w:suff w:val="nothing"/>
      <w:lvlText w:val="%1.%2.%3.%4　"/>
      <w:lvlJc w:val="left"/>
      <w:pPr>
        <w:ind w:left="0" w:firstLine="0"/>
      </w:pPr>
      <w:rPr>
        <w:rFonts w:hint="eastAsia" w:ascii="宋体" w:hAnsi="宋体" w:eastAsia="宋体"/>
        <w:b w:val="0"/>
        <w:i w:val="0"/>
        <w:color w:val="auto"/>
        <w:sz w:val="24"/>
        <w:szCs w:val="24"/>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FE13633"/>
    <w:multiLevelType w:val="multilevel"/>
    <w:tmpl w:val="4FE13633"/>
    <w:lvl w:ilvl="0" w:tentative="0">
      <w:start w:val="1"/>
      <w:numFmt w:val="decimal"/>
      <w:pStyle w:val="29"/>
      <w:lvlText w:val="%1."/>
      <w:lvlJc w:val="left"/>
      <w:pPr>
        <w:tabs>
          <w:tab w:val="left" w:pos="720"/>
        </w:tabs>
        <w:ind w:left="720" w:hanging="720"/>
      </w:pPr>
    </w:lvl>
    <w:lvl w:ilvl="1" w:tentative="0">
      <w:start w:val="1"/>
      <w:numFmt w:val="decimal"/>
      <w:pStyle w:val="28"/>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6FC11642"/>
    <w:multiLevelType w:val="multilevel"/>
    <w:tmpl w:val="6FC11642"/>
    <w:lvl w:ilvl="0" w:tentative="0">
      <w:start w:val="1"/>
      <w:numFmt w:val="decimal"/>
      <w:lvlText w:val="%1."/>
      <w:lvlJc w:val="left"/>
      <w:pPr>
        <w:tabs>
          <w:tab w:val="left" w:pos="720"/>
        </w:tabs>
        <w:ind w:left="720" w:hanging="720"/>
      </w:pPr>
    </w:lvl>
    <w:lvl w:ilvl="1" w:tentative="0">
      <w:start w:val="1"/>
      <w:numFmt w:val="decimal"/>
      <w:pStyle w:val="30"/>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77280825"/>
    <w:multiLevelType w:val="multilevel"/>
    <w:tmpl w:val="77280825"/>
    <w:lvl w:ilvl="0" w:tentative="0">
      <w:start w:val="1"/>
      <w:numFmt w:val="decimal"/>
      <w:pStyle w:val="25"/>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Y2JlOGFlOWY4YzRiNTAwZWNhZjg4YjNiZGRkZTAifQ=="/>
  </w:docVars>
  <w:rsids>
    <w:rsidRoot w:val="00D31D50"/>
    <w:rsid w:val="00000EC1"/>
    <w:rsid w:val="000420AA"/>
    <w:rsid w:val="00043C3A"/>
    <w:rsid w:val="00057E92"/>
    <w:rsid w:val="000B3169"/>
    <w:rsid w:val="000D167A"/>
    <w:rsid w:val="001041BE"/>
    <w:rsid w:val="001127C8"/>
    <w:rsid w:val="001E102F"/>
    <w:rsid w:val="002531C6"/>
    <w:rsid w:val="002A4CB0"/>
    <w:rsid w:val="002E6647"/>
    <w:rsid w:val="00323B43"/>
    <w:rsid w:val="003602FA"/>
    <w:rsid w:val="003D37D8"/>
    <w:rsid w:val="003F3129"/>
    <w:rsid w:val="00426133"/>
    <w:rsid w:val="004358AB"/>
    <w:rsid w:val="004F4D5E"/>
    <w:rsid w:val="0056760A"/>
    <w:rsid w:val="005A1355"/>
    <w:rsid w:val="005B1F75"/>
    <w:rsid w:val="005D1642"/>
    <w:rsid w:val="005E1FE8"/>
    <w:rsid w:val="005F0DB5"/>
    <w:rsid w:val="005F782D"/>
    <w:rsid w:val="00687AB5"/>
    <w:rsid w:val="00694822"/>
    <w:rsid w:val="006975B3"/>
    <w:rsid w:val="006A0212"/>
    <w:rsid w:val="006B4F17"/>
    <w:rsid w:val="006E57B7"/>
    <w:rsid w:val="006F2F62"/>
    <w:rsid w:val="007012C1"/>
    <w:rsid w:val="00703E5A"/>
    <w:rsid w:val="007143AB"/>
    <w:rsid w:val="00734649"/>
    <w:rsid w:val="007660D8"/>
    <w:rsid w:val="0076725F"/>
    <w:rsid w:val="00777C4C"/>
    <w:rsid w:val="00810327"/>
    <w:rsid w:val="0089508D"/>
    <w:rsid w:val="008B596C"/>
    <w:rsid w:val="008B7726"/>
    <w:rsid w:val="008C497D"/>
    <w:rsid w:val="008D7D6E"/>
    <w:rsid w:val="009006AD"/>
    <w:rsid w:val="00902E2E"/>
    <w:rsid w:val="00911C52"/>
    <w:rsid w:val="00912BB9"/>
    <w:rsid w:val="00917191"/>
    <w:rsid w:val="009273AA"/>
    <w:rsid w:val="0097767B"/>
    <w:rsid w:val="009A7D9C"/>
    <w:rsid w:val="009B7FE4"/>
    <w:rsid w:val="009C7C02"/>
    <w:rsid w:val="009E4127"/>
    <w:rsid w:val="009E48DF"/>
    <w:rsid w:val="009E4AE5"/>
    <w:rsid w:val="00A6579E"/>
    <w:rsid w:val="00A91688"/>
    <w:rsid w:val="00AA3BF3"/>
    <w:rsid w:val="00B10B21"/>
    <w:rsid w:val="00B175FF"/>
    <w:rsid w:val="00BD1235"/>
    <w:rsid w:val="00C6576F"/>
    <w:rsid w:val="00C6693E"/>
    <w:rsid w:val="00CB0FE3"/>
    <w:rsid w:val="00CB3310"/>
    <w:rsid w:val="00CB7FC0"/>
    <w:rsid w:val="00CD21C8"/>
    <w:rsid w:val="00D249E6"/>
    <w:rsid w:val="00D31D50"/>
    <w:rsid w:val="00D4222D"/>
    <w:rsid w:val="00D630AF"/>
    <w:rsid w:val="00E141FA"/>
    <w:rsid w:val="00E419C3"/>
    <w:rsid w:val="00E9767A"/>
    <w:rsid w:val="00EB7A2D"/>
    <w:rsid w:val="00EC1605"/>
    <w:rsid w:val="00ED027E"/>
    <w:rsid w:val="00F06A32"/>
    <w:rsid w:val="00F653EB"/>
    <w:rsid w:val="00F80A46"/>
    <w:rsid w:val="12271E40"/>
    <w:rsid w:val="1C7842B1"/>
    <w:rsid w:val="68AE189C"/>
    <w:rsid w:val="7EBD7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6"/>
    <w:qFormat/>
    <w:uiPriority w:val="0"/>
    <w:pPr>
      <w:keepNext/>
      <w:keepLines/>
      <w:widowControl w:val="0"/>
      <w:adjustRightInd/>
      <w:snapToGrid/>
      <w:spacing w:before="120" w:after="120" w:line="360" w:lineRule="auto"/>
      <w:jc w:val="both"/>
      <w:outlineLvl w:val="0"/>
    </w:pPr>
    <w:rPr>
      <w:rFonts w:ascii="Calibri" w:hAnsi="Calibri" w:eastAsia="宋体" w:cs="Times New Roman"/>
      <w:b/>
      <w:bCs/>
      <w:kern w:val="44"/>
      <w:sz w:val="32"/>
      <w:szCs w:val="44"/>
    </w:rPr>
  </w:style>
  <w:style w:type="paragraph" w:styleId="3">
    <w:name w:val="heading 2"/>
    <w:basedOn w:val="1"/>
    <w:next w:val="1"/>
    <w:link w:val="21"/>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6"/>
    <w:semiHidden/>
    <w:unhideWhenUsed/>
    <w:qFormat/>
    <w:uiPriority w:val="99"/>
    <w:rPr>
      <w:rFonts w:ascii="宋体" w:eastAsia="宋体"/>
      <w:sz w:val="18"/>
      <w:szCs w:val="18"/>
    </w:rPr>
  </w:style>
  <w:style w:type="paragraph" w:styleId="5">
    <w:name w:val="Body Text Indent"/>
    <w:basedOn w:val="1"/>
    <w:link w:val="20"/>
    <w:qFormat/>
    <w:uiPriority w:val="0"/>
    <w:pPr>
      <w:adjustRightInd/>
      <w:snapToGrid/>
      <w:spacing w:after="120" w:line="252" w:lineRule="auto"/>
      <w:ind w:left="200" w:leftChars="200"/>
      <w:jc w:val="both"/>
    </w:pPr>
    <w:rPr>
      <w:rFonts w:ascii="??" w:hAnsi="Calibri" w:cs="??"/>
    </w:rPr>
  </w:style>
  <w:style w:type="paragraph" w:styleId="6">
    <w:name w:val="Body Text Indent 2"/>
    <w:basedOn w:val="1"/>
    <w:link w:val="32"/>
    <w:semiHidden/>
    <w:unhideWhenUsed/>
    <w:qFormat/>
    <w:uiPriority w:val="99"/>
    <w:pPr>
      <w:spacing w:after="120" w:line="480" w:lineRule="auto"/>
      <w:ind w:left="420" w:leftChars="200"/>
    </w:pPr>
  </w:style>
  <w:style w:type="paragraph" w:styleId="7">
    <w:name w:val="Balloon Text"/>
    <w:basedOn w:val="1"/>
    <w:link w:val="27"/>
    <w:semiHidden/>
    <w:unhideWhenUsed/>
    <w:qFormat/>
    <w:uiPriority w:val="99"/>
    <w:pPr>
      <w:spacing w:after="0"/>
    </w:pPr>
    <w:rPr>
      <w:sz w:val="18"/>
      <w:szCs w:val="18"/>
    </w:rPr>
  </w:style>
  <w:style w:type="paragraph" w:styleId="8">
    <w:name w:val="footer"/>
    <w:basedOn w:val="1"/>
    <w:link w:val="15"/>
    <w:unhideWhenUsed/>
    <w:qFormat/>
    <w:uiPriority w:val="99"/>
    <w:pPr>
      <w:tabs>
        <w:tab w:val="center" w:pos="4153"/>
        <w:tab w:val="right" w:pos="8306"/>
      </w:tabs>
    </w:pPr>
    <w:rPr>
      <w:sz w:val="18"/>
      <w:szCs w:val="18"/>
    </w:rPr>
  </w:style>
  <w:style w:type="paragraph" w:styleId="9">
    <w:name w:val="header"/>
    <w:basedOn w:val="1"/>
    <w:link w:val="14"/>
    <w:unhideWhenUsed/>
    <w:uiPriority w:val="99"/>
    <w:pPr>
      <w:pBdr>
        <w:bottom w:val="single" w:color="auto" w:sz="6" w:space="1"/>
      </w:pBdr>
      <w:tabs>
        <w:tab w:val="center" w:pos="4153"/>
        <w:tab w:val="right" w:pos="8306"/>
      </w:tabs>
      <w:jc w:val="center"/>
    </w:pPr>
    <w:rPr>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13">
    <w:name w:val="Strong"/>
    <w:qFormat/>
    <w:uiPriority w:val="22"/>
    <w:rPr>
      <w:b/>
      <w:bCs/>
    </w:rPr>
  </w:style>
  <w:style w:type="character" w:customStyle="1" w:styleId="14">
    <w:name w:val="页眉 Char"/>
    <w:basedOn w:val="12"/>
    <w:link w:val="9"/>
    <w:qFormat/>
    <w:uiPriority w:val="99"/>
    <w:rPr>
      <w:rFonts w:ascii="Tahoma" w:hAnsi="Tahoma"/>
      <w:sz w:val="18"/>
      <w:szCs w:val="18"/>
    </w:rPr>
  </w:style>
  <w:style w:type="character" w:customStyle="1" w:styleId="15">
    <w:name w:val="页脚 Char"/>
    <w:basedOn w:val="12"/>
    <w:link w:val="8"/>
    <w:uiPriority w:val="99"/>
    <w:rPr>
      <w:rFonts w:ascii="Tahoma" w:hAnsi="Tahoma"/>
      <w:sz w:val="18"/>
      <w:szCs w:val="18"/>
    </w:rPr>
  </w:style>
  <w:style w:type="character" w:customStyle="1" w:styleId="16">
    <w:name w:val="标题 1 Char"/>
    <w:basedOn w:val="12"/>
    <w:link w:val="2"/>
    <w:qFormat/>
    <w:uiPriority w:val="0"/>
    <w:rPr>
      <w:rFonts w:ascii="Calibri" w:hAnsi="Calibri" w:eastAsia="宋体" w:cs="Times New Roman"/>
      <w:b/>
      <w:bCs/>
      <w:kern w:val="44"/>
      <w:sz w:val="32"/>
      <w:szCs w:val="44"/>
    </w:rPr>
  </w:style>
  <w:style w:type="character" w:customStyle="1" w:styleId="17">
    <w:name w:val="标题 2 Char"/>
    <w:basedOn w:val="12"/>
    <w:semiHidden/>
    <w:qFormat/>
    <w:uiPriority w:val="9"/>
    <w:rPr>
      <w:rFonts w:asciiTheme="majorHAnsi" w:hAnsiTheme="majorHAnsi" w:eastAsiaTheme="majorEastAsia" w:cstheme="majorBidi"/>
      <w:b/>
      <w:bCs/>
      <w:sz w:val="32"/>
      <w:szCs w:val="32"/>
    </w:rPr>
  </w:style>
  <w:style w:type="character" w:customStyle="1" w:styleId="18">
    <w:name w:val="段 Char"/>
    <w:link w:val="19"/>
    <w:qFormat/>
    <w:uiPriority w:val="0"/>
    <w:rPr>
      <w:rFonts w:ascii="宋体" w:eastAsia="宋体"/>
      <w:sz w:val="21"/>
      <w:lang w:val="en-US" w:eastAsia="zh-CN"/>
    </w:rPr>
  </w:style>
  <w:style w:type="paragraph" w:customStyle="1" w:styleId="19">
    <w:name w:val="段"/>
    <w:link w:val="18"/>
    <w:qFormat/>
    <w:uiPriority w:val="0"/>
    <w:pPr>
      <w:autoSpaceDE w:val="0"/>
      <w:autoSpaceDN w:val="0"/>
      <w:spacing w:after="0" w:line="240" w:lineRule="auto"/>
      <w:ind w:firstLine="200" w:firstLineChars="200"/>
      <w:jc w:val="both"/>
    </w:pPr>
    <w:rPr>
      <w:rFonts w:ascii="宋体" w:eastAsia="宋体" w:hAnsiTheme="minorHAnsi" w:cstheme="minorBidi"/>
      <w:sz w:val="21"/>
      <w:szCs w:val="22"/>
      <w:lang w:val="en-US" w:eastAsia="zh-CN" w:bidi="ar-SA"/>
    </w:rPr>
  </w:style>
  <w:style w:type="character" w:customStyle="1" w:styleId="20">
    <w:name w:val="正文文本缩进 Char1"/>
    <w:basedOn w:val="12"/>
    <w:link w:val="5"/>
    <w:locked/>
    <w:uiPriority w:val="0"/>
    <w:rPr>
      <w:rFonts w:ascii="??" w:hAnsi="Calibri" w:cs="??"/>
    </w:rPr>
  </w:style>
  <w:style w:type="character" w:customStyle="1" w:styleId="21">
    <w:name w:val="标题 2 Char1"/>
    <w:link w:val="3"/>
    <w:qFormat/>
    <w:locked/>
    <w:uiPriority w:val="0"/>
    <w:rPr>
      <w:rFonts w:ascii="Arial" w:hAnsi="Arial" w:eastAsia="黑体" w:cs="Times New Roman"/>
      <w:b/>
      <w:bCs/>
      <w:kern w:val="2"/>
      <w:sz w:val="32"/>
      <w:szCs w:val="32"/>
    </w:rPr>
  </w:style>
  <w:style w:type="character" w:customStyle="1" w:styleId="22">
    <w:name w:val="正文文本缩进 Char"/>
    <w:basedOn w:val="12"/>
    <w:semiHidden/>
    <w:qFormat/>
    <w:uiPriority w:val="99"/>
    <w:rPr>
      <w:rFonts w:ascii="Tahoma" w:hAnsi="Tahoma"/>
    </w:rPr>
  </w:style>
  <w:style w:type="paragraph" w:customStyle="1" w:styleId="23">
    <w:name w:val="二级条标题"/>
    <w:basedOn w:val="1"/>
    <w:next w:val="19"/>
    <w:qFormat/>
    <w:uiPriority w:val="0"/>
    <w:pPr>
      <w:numPr>
        <w:ilvl w:val="2"/>
        <w:numId w:val="1"/>
      </w:numPr>
      <w:adjustRightInd/>
      <w:snapToGrid/>
      <w:spacing w:beforeLines="50" w:afterLines="50"/>
      <w:outlineLvl w:val="3"/>
    </w:pPr>
    <w:rPr>
      <w:rFonts w:ascii="黑体" w:hAnsi="Times New Roman" w:eastAsia="黑体" w:cs="Times New Roman"/>
      <w:sz w:val="21"/>
      <w:szCs w:val="21"/>
    </w:rPr>
  </w:style>
  <w:style w:type="paragraph" w:styleId="24">
    <w:name w:val="List Paragraph"/>
    <w:basedOn w:val="1"/>
    <w:qFormat/>
    <w:uiPriority w:val="0"/>
    <w:pPr>
      <w:widowControl w:val="0"/>
      <w:adjustRightInd/>
      <w:snapToGrid/>
      <w:spacing w:after="0"/>
      <w:ind w:firstLine="420" w:firstLineChars="200"/>
      <w:jc w:val="both"/>
    </w:pPr>
    <w:rPr>
      <w:rFonts w:ascii="Calibri" w:hAnsi="Calibri" w:eastAsia="宋体" w:cs="Calibri"/>
      <w:kern w:val="2"/>
      <w:sz w:val="21"/>
      <w:szCs w:val="21"/>
    </w:rPr>
  </w:style>
  <w:style w:type="paragraph" w:customStyle="1" w:styleId="25">
    <w:name w:val="列项——（一级）"/>
    <w:qFormat/>
    <w:uiPriority w:val="0"/>
    <w:pPr>
      <w:widowControl w:val="0"/>
      <w:numPr>
        <w:ilvl w:val="0"/>
        <w:numId w:val="2"/>
      </w:numPr>
      <w:spacing w:after="0" w:line="240" w:lineRule="auto"/>
      <w:jc w:val="both"/>
    </w:pPr>
    <w:rPr>
      <w:rFonts w:ascii="宋体" w:hAnsi="Times New Roman" w:eastAsia="宋体" w:cs="Times New Roman"/>
      <w:sz w:val="21"/>
      <w:szCs w:val="20"/>
      <w:lang w:val="en-US" w:eastAsia="zh-CN" w:bidi="ar-SA"/>
    </w:rPr>
  </w:style>
  <w:style w:type="character" w:customStyle="1" w:styleId="26">
    <w:name w:val="文档结构图 Char"/>
    <w:basedOn w:val="12"/>
    <w:link w:val="4"/>
    <w:semiHidden/>
    <w:qFormat/>
    <w:uiPriority w:val="99"/>
    <w:rPr>
      <w:rFonts w:ascii="宋体" w:hAnsi="Tahoma" w:eastAsia="宋体"/>
      <w:sz w:val="18"/>
      <w:szCs w:val="18"/>
    </w:rPr>
  </w:style>
  <w:style w:type="character" w:customStyle="1" w:styleId="27">
    <w:name w:val="批注框文本 Char"/>
    <w:basedOn w:val="12"/>
    <w:link w:val="7"/>
    <w:semiHidden/>
    <w:qFormat/>
    <w:uiPriority w:val="99"/>
    <w:rPr>
      <w:rFonts w:ascii="Tahoma" w:hAnsi="Tahoma"/>
      <w:sz w:val="18"/>
      <w:szCs w:val="18"/>
    </w:rPr>
  </w:style>
  <w:style w:type="paragraph" w:customStyle="1" w:styleId="28">
    <w:name w:val="附录表标题"/>
    <w:basedOn w:val="1"/>
    <w:next w:val="19"/>
    <w:qFormat/>
    <w:uiPriority w:val="0"/>
    <w:pPr>
      <w:widowControl w:val="0"/>
      <w:numPr>
        <w:ilvl w:val="1"/>
        <w:numId w:val="3"/>
      </w:numPr>
      <w:tabs>
        <w:tab w:val="left" w:pos="180"/>
      </w:tabs>
      <w:adjustRightInd/>
      <w:snapToGrid/>
      <w:spacing w:beforeLines="50" w:afterLines="50"/>
      <w:jc w:val="center"/>
    </w:pPr>
    <w:rPr>
      <w:rFonts w:ascii="黑体" w:hAnsi="Times New Roman" w:eastAsia="黑体" w:cs="Times New Roman"/>
      <w:kern w:val="2"/>
      <w:sz w:val="21"/>
      <w:szCs w:val="21"/>
    </w:rPr>
  </w:style>
  <w:style w:type="paragraph" w:customStyle="1" w:styleId="29">
    <w:name w:val="附录标识"/>
    <w:basedOn w:val="1"/>
    <w:next w:val="19"/>
    <w:qFormat/>
    <w:uiPriority w:val="0"/>
    <w:pPr>
      <w:keepNext/>
      <w:numPr>
        <w:ilvl w:val="0"/>
        <w:numId w:val="4"/>
      </w:numPr>
      <w:shd w:val="clear" w:color="FFFFFF" w:fill="FFFFFF"/>
      <w:tabs>
        <w:tab w:val="left" w:pos="360"/>
        <w:tab w:val="left" w:pos="720"/>
        <w:tab w:val="left" w:pos="6405"/>
      </w:tabs>
      <w:adjustRightInd/>
      <w:snapToGrid/>
      <w:spacing w:before="640" w:after="280"/>
      <w:jc w:val="center"/>
      <w:outlineLvl w:val="0"/>
    </w:pPr>
    <w:rPr>
      <w:rFonts w:ascii="黑体" w:hAnsi="Times New Roman" w:eastAsia="黑体" w:cs="Times New Roman"/>
      <w:sz w:val="21"/>
      <w:szCs w:val="20"/>
    </w:rPr>
  </w:style>
  <w:style w:type="paragraph" w:customStyle="1" w:styleId="30">
    <w:name w:val="附录章标题"/>
    <w:next w:val="19"/>
    <w:qFormat/>
    <w:uiPriority w:val="0"/>
    <w:pPr>
      <w:numPr>
        <w:ilvl w:val="1"/>
        <w:numId w:val="5"/>
      </w:numPr>
      <w:tabs>
        <w:tab w:val="left" w:pos="360"/>
      </w:tabs>
      <w:wordWrap w:val="0"/>
      <w:overflowPunct w:val="0"/>
      <w:autoSpaceDE w:val="0"/>
      <w:spacing w:beforeLines="100" w:after="200" w:afterLines="100" w:line="240" w:lineRule="auto"/>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31">
    <w:name w:val="注："/>
    <w:next w:val="19"/>
    <w:qFormat/>
    <w:uiPriority w:val="0"/>
    <w:pPr>
      <w:widowControl w:val="0"/>
      <w:tabs>
        <w:tab w:val="left" w:pos="720"/>
      </w:tabs>
      <w:autoSpaceDE w:val="0"/>
      <w:autoSpaceDN w:val="0"/>
      <w:spacing w:after="0" w:line="240" w:lineRule="auto"/>
      <w:ind w:left="720" w:hanging="720"/>
      <w:jc w:val="both"/>
    </w:pPr>
    <w:rPr>
      <w:rFonts w:ascii="宋体" w:hAnsi="Times New Roman" w:eastAsia="宋体" w:cs="Times New Roman"/>
      <w:sz w:val="18"/>
      <w:szCs w:val="18"/>
      <w:lang w:val="en-US" w:eastAsia="zh-CN" w:bidi="ar-SA"/>
    </w:rPr>
  </w:style>
  <w:style w:type="character" w:customStyle="1" w:styleId="32">
    <w:name w:val="正文文本缩进 2 Char"/>
    <w:basedOn w:val="12"/>
    <w:link w:val="6"/>
    <w:semiHidden/>
    <w:qFormat/>
    <w:uiPriority w:val="99"/>
    <w:rPr>
      <w:rFonts w:ascii="Tahoma" w:hAnsi="Tahom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12</Pages>
  <Words>5821</Words>
  <Characters>5944</Characters>
  <Lines>76</Lines>
  <Paragraphs>21</Paragraphs>
  <TotalTime>16</TotalTime>
  <ScaleCrop>false</ScaleCrop>
  <LinksUpToDate>false</LinksUpToDate>
  <CharactersWithSpaces>6031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2018-04-25T09:04:00Z</dcterms:created>
  <dc:creator>Administrator</dc:creator>
  <cp:lastModifiedBy>Administrator</cp:lastModifiedBy>
  <cp:lastPrinted>2023-09-20T23:47:20Z</cp:lastPrinted>
  <dcterms:modified xsi:type="dcterms:W3CDTF">2023-09-20T23:57:38Z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0066537A404D405FB326F00B07345B70_12</vt:lpwstr>
  </property>
</Properties>
</file>